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3.46456692913387" w:right="650.7401574803157" w:firstLine="0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83.46456692913387" w:right="650.7401574803157" w:firstLine="0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Check list PROAC -</w:t>
      </w:r>
      <w:r w:rsidDel="00000000" w:rsidR="00000000" w:rsidRPr="00000000">
        <w:rPr>
          <w:u w:val="single"/>
          <w:rtl w:val="0"/>
        </w:rPr>
        <w:t xml:space="preserve">202</w:t>
      </w:r>
      <w:r w:rsidDel="00000000" w:rsidR="00000000" w:rsidRPr="00000000">
        <w:rPr>
          <w:u w:val="single"/>
          <w:rtl w:val="0"/>
        </w:rPr>
        <w:t xml:space="preserve">4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283.46456692913387" w:right="650.74015748031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283.46456692913387" w:right="650.7401574803157" w:firstLine="0"/>
        <w:jc w:val="both"/>
        <w:rPr/>
      </w:pPr>
      <w:r w:rsidDel="00000000" w:rsidR="00000000" w:rsidRPr="00000000">
        <w:rPr>
          <w:rtl w:val="0"/>
        </w:rPr>
        <w:t xml:space="preserve">Para se inscrever no PROAC, o servidor deverá enviar a documentação listada abaixo. A submissão será via sistema Inovare.  Os documentos deverão ser digitalizados e anexados , em arquivo único, no formato </w:t>
      </w:r>
      <w:r w:rsidDel="00000000" w:rsidR="00000000" w:rsidRPr="00000000">
        <w:rPr>
          <w:i w:val="1"/>
          <w:rtl w:val="0"/>
        </w:rPr>
        <w:t xml:space="preserve">portable document format (</w:t>
      </w:r>
      <w:r w:rsidDel="00000000" w:rsidR="00000000" w:rsidRPr="00000000">
        <w:rPr>
          <w:rtl w:val="0"/>
        </w:rPr>
        <w:t xml:space="preserve">PDF), na respectiva ordem: 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283.46456692913387" w:right="650.74015748031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I. Formulário de Inscrição – PROAC (Anexo I);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II. Requerimento, Declaração de Escolaridade e Termo de Compromisso e Responsabilidade (Anexo II) concordando com as normas estabelecidas neste Edital, bem como ciência da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Portaria GABREITOR/IFSUDMG nº 959, de 26 de outubro de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III. Apresentação  para o setor e forma de devolutiva dos conhecimentos  adquiridos assinado pela chefia imediata (Anexo III);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IV. Declaração do servidor se comprometendo a não realizar acúmulo de bolsa (Anexo IV);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V. Comprovação de que a capacitação consta no PDP da sua unidade;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VI.  Declaração manual emitida pela CGP's e COCAPENS, no caso da Reitoria, atestando o tempo que o servidor é efetivo do quadro permanente da instituição;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VII. Documento comprobatório de matrícula, conforme inciso III do item 3.2.;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VIII. Comprovante de reconhecimento do curso de pós-graduação </w:t>
      </w:r>
      <w:r w:rsidDel="00000000" w:rsidR="00000000" w:rsidRPr="00000000">
        <w:rPr>
          <w:i w:val="1"/>
          <w:sz w:val="20"/>
          <w:szCs w:val="20"/>
          <w:rtl w:val="0"/>
        </w:rPr>
        <w:t xml:space="preserve">Stricto sensu</w:t>
      </w:r>
      <w:r w:rsidDel="00000000" w:rsidR="00000000" w:rsidRPr="00000000">
        <w:rPr>
          <w:sz w:val="20"/>
          <w:szCs w:val="20"/>
          <w:rtl w:val="0"/>
        </w:rPr>
        <w:t xml:space="preserve">, pela CAPES;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IX. Declaração de adimplência junto às respectivas diretorias de pesquisa dos campi ou órgão equivalente ou Proppi (servidores da Reitoria e dos campi avançados) contendo a informação, quando for o caso, de quitação em editais anteriores do PROAQ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PROAC;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X- Declaração de adimplência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com os programas institucionais geridos pela Pró-Reitoria de Pesquisa e Inovação ou Diretorias de Pesquisa do campus.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XI –</w:t>
      </w:r>
      <w:r w:rsidDel="00000000" w:rsidR="00000000" w:rsidRPr="00000000">
        <w:rPr>
          <w:sz w:val="20"/>
          <w:szCs w:val="20"/>
          <w:rtl w:val="0"/>
        </w:rPr>
        <w:t xml:space="preserve">Currículo Lattes atualizado nos últimos 12 meses</w:t>
      </w:r>
      <w:r w:rsidDel="00000000" w:rsidR="00000000" w:rsidRPr="00000000">
        <w:rPr>
          <w:sz w:val="20"/>
          <w:szCs w:val="20"/>
          <w:rtl w:val="0"/>
        </w:rPr>
        <w:t xml:space="preserve"> com indicação de produção dos últimos 5 anos, conforme anexo V;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ind w:left="720" w:right="650.7401574803157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XII -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Declaração emitida pelo órgão ou setor responsável com o tempo de comprovação de experiência em atividades relacionadas com curso pretendido, quando for o 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720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left="720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§ 1º As informações das declarações previstas nos incisos IX e  X poderão estar contidas em um único documento.</w:t>
      </w:r>
    </w:p>
    <w:p w:rsidR="00000000" w:rsidDel="00000000" w:rsidP="00000000" w:rsidRDefault="00000000" w:rsidRPr="00000000" w14:paraId="00000014">
      <w:pPr>
        <w:widowControl w:val="0"/>
        <w:ind w:left="720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§ 2 º Os documentos deverão ser digitalizados e anexados, em arquivo único, no formato </w:t>
      </w:r>
      <w:r w:rsidDel="00000000" w:rsidR="00000000" w:rsidRPr="00000000">
        <w:rPr>
          <w:i w:val="1"/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PDF), na ordem exata em que aparecem acima.</w:t>
      </w:r>
    </w:p>
    <w:p w:rsidR="00000000" w:rsidDel="00000000" w:rsidP="00000000" w:rsidRDefault="00000000" w:rsidRPr="00000000" w14:paraId="00000015">
      <w:pPr>
        <w:widowControl w:val="0"/>
        <w:ind w:left="720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720" w:right="650.7401574803157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4.4.</w:t>
      </w:r>
      <w:r w:rsidDel="00000000" w:rsidR="00000000" w:rsidRPr="00000000">
        <w:rPr>
          <w:sz w:val="20"/>
          <w:szCs w:val="20"/>
          <w:rtl w:val="0"/>
        </w:rPr>
        <w:t xml:space="preserve"> A ausência de quaisquer dos documentos comprobatórios listados acima implicará a NÃO homologação da inscrição e a solicitação será INDEFERIDA. </w:t>
      </w:r>
    </w:p>
    <w:p w:rsidR="00000000" w:rsidDel="00000000" w:rsidP="00000000" w:rsidRDefault="00000000" w:rsidRPr="00000000" w14:paraId="00000017">
      <w:pPr>
        <w:widowControl w:val="0"/>
        <w:ind w:left="720" w:right="650.74015748031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left="720" w:right="650.74015748031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720" w:right="650.7401574803157" w:firstLine="0"/>
        <w:jc w:val="both"/>
        <w:rPr>
          <w:sz w:val="20"/>
          <w:szCs w:val="20"/>
          <w:highlight w:val="red"/>
        </w:rPr>
      </w:pPr>
      <w:r w:rsidDel="00000000" w:rsidR="00000000" w:rsidRPr="00000000">
        <w:rPr>
          <w:u w:val="single"/>
          <w:rtl w:val="0"/>
        </w:rPr>
        <w:t xml:space="preserve">Observação:</w:t>
      </w:r>
      <w:r w:rsidDel="00000000" w:rsidR="00000000" w:rsidRPr="00000000">
        <w:rPr>
          <w:rtl w:val="0"/>
        </w:rPr>
        <w:t xml:space="preserve"> As informações das declarações previstas nos incisos IX e  X poderão estar contidas em um único documento.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755.9999847412109" w:top="693.60107421875" w:left="811.2000274658203" w:right="517.32177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>
        <w:sz w:val="20"/>
        <w:szCs w:val="2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spacing w:before="35.126953125" w:line="240" w:lineRule="auto"/>
      <w:ind w:left="2283.2201385498047" w:firstLine="0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 </w:t>
    </w:r>
  </w:p>
  <w:p w:rsidR="00000000" w:rsidDel="00000000" w:rsidP="00000000" w:rsidRDefault="00000000" w:rsidRPr="00000000" w14:paraId="0000001C">
    <w:pPr>
      <w:widowControl w:val="0"/>
      <w:spacing w:line="240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D">
    <w:pPr>
      <w:widowControl w:val="0"/>
      <w:spacing w:line="231.01853370666504" w:lineRule="auto"/>
      <w:ind w:left="0" w:right="738.9208984375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DO SUDESTE DE MINAS GERAIS  </w:t>
    </w:r>
  </w:p>
  <w:p w:rsidR="00000000" w:rsidDel="00000000" w:rsidP="00000000" w:rsidRDefault="00000000" w:rsidRPr="00000000" w14:paraId="0000001E">
    <w:pPr>
      <w:widowControl w:val="0"/>
      <w:spacing w:line="231.01853370666504" w:lineRule="auto"/>
      <w:ind w:left="0" w:right="738.9208984375" w:firstLine="0"/>
      <w:jc w:val="center"/>
      <w:rPr>
        <w:sz w:val="20"/>
        <w:szCs w:val="20"/>
      </w:rPr>
    </w:pPr>
    <w:r w:rsidDel="00000000" w:rsidR="00000000" w:rsidRPr="00000000">
      <w:rPr>
        <w:sz w:val="16"/>
        <w:szCs w:val="16"/>
        <w:rtl w:val="0"/>
      </w:rPr>
      <w:t xml:space="preserve">Rua Luz Interior, 360 – 5º andar – Bairro Estrela Sul – 36030-776 – Juiz de Fora – MG. Telefones: (32) 32574110 / (32) 32574111 / (32) 32574112 / (32) 32574113</w:t>
    </w:r>
    <w:r w:rsidDel="00000000" w:rsidR="00000000" w:rsidRPr="00000000">
      <w:rPr>
        <w:b w:val="1"/>
        <w:sz w:val="16"/>
        <w:szCs w:val="16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