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ind w:right="168" w:firstLine="281"/>
        <w:rPr/>
      </w:pPr>
      <w:r w:rsidDel="00000000" w:rsidR="00000000" w:rsidRPr="00000000">
        <w:rPr>
          <w:rtl w:val="0"/>
        </w:rPr>
        <w:t xml:space="preserve">ANEXO VII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281" w:right="169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SUGESTÃO DE MODELO DE ACORDO DE COOPERAÇÃO TÉCNICA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1" w:right="16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(apenas para instituições com proposta contemplada)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1" w:right="16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assinatura deste documento dependerá de prévia análise e autorização pelas Procuradorias Federais junto ao Ifes e à Instituição Executora)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4"/>
        </w:tabs>
        <w:spacing w:after="0" w:before="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ACORDO DE COOPERAÇÃO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Acordo de Cooperação Técnica que, entre si, celebram o Instituto Federal do Espírito Santo (Ifes), a (inserir nome da pessoa jurídica da Instituição Executora) e a Fundação de Apoio ao Desenvolvimento da Ciência e Tecnologia (Facto), para os fins a que menciona.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Acordo de Cooperação é firmado entre:</w:t>
      </w:r>
    </w:p>
    <w:p w:rsidR="00000000" w:rsidDel="00000000" w:rsidP="00000000" w:rsidRDefault="00000000" w:rsidRPr="00000000" w14:paraId="00000011">
      <w:pPr>
        <w:pStyle w:val="Heading2"/>
        <w:spacing w:before="120" w:lineRule="auto"/>
        <w:ind w:left="373" w:firstLine="0"/>
        <w:rPr/>
      </w:pPr>
      <w:r w:rsidDel="00000000" w:rsidR="00000000" w:rsidRPr="00000000">
        <w:rPr>
          <w:rtl w:val="0"/>
        </w:rPr>
        <w:t xml:space="preserve">O INSTITUTO FEDERAL DE EDUCAÇÃO, CIÊNCIA E TECNOLOGIA DO ESPÍRITO SANTO – IFES,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autarquia federal, vinculada ao Ministério da Educação, detentora de autonomia administrativa, patrimonial, financeira, didático-pedagógica e disciplinar, com sede na Avenida Rio Branco, nº 50, Santa Lúcia, Vitória/ES, inscrito no CNPJ/MF sob o nº 10.838.653/0001-06, neste ato representado pelo seu Reitor Jadir José Pela, portador da Carteira de Identidade nº 4xxxxx6, expedida pela SSP/ES e inscrito no CPF sob o nº 4xx.xxx.xxx-68, doravante denominado Ifes.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4"/>
        </w:tabs>
        <w:spacing w:after="0" w:before="121" w:line="240" w:lineRule="auto"/>
        <w:ind w:left="373" w:right="25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(inserir nome da pessoa jurídica da Instituição Executora), inscrito(a) no CNPJ sob o nº (número), com sede na (endereço), neste ato representado(a) pelo(a) seu/sua dirigente máximo(a) Senhor(a)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(nacionalidade), (estado civil), (profissão), portador(a) do RG nº (número), inscrito(a) no CPF sob o nº (número), residente e domiciliado(a) na Rua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4"/>
        </w:tabs>
        <w:spacing w:after="0" w:before="0" w:line="293.00000000000006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doravante denominada INSTITUIÇÃO EXECUTORA,</w:t>
      </w:r>
    </w:p>
    <w:p w:rsidR="00000000" w:rsidDel="00000000" w:rsidP="00000000" w:rsidRDefault="00000000" w:rsidRPr="00000000" w14:paraId="00000015">
      <w:pPr>
        <w:pStyle w:val="Heading2"/>
        <w:spacing w:before="120" w:lineRule="auto"/>
        <w:ind w:left="373" w:firstLine="0"/>
        <w:rPr>
          <w:b w:val="0"/>
        </w:rPr>
      </w:pPr>
      <w:r w:rsidDel="00000000" w:rsidR="00000000" w:rsidRPr="00000000">
        <w:rPr>
          <w:rtl w:val="0"/>
        </w:rPr>
        <w:t xml:space="preserve">A FUNDAÇÃO DE APOIO AO DESENVOLVIMENTO DA CIÊNCIA E TECNOLOGIA – FACTO, </w:t>
      </w:r>
      <w:r w:rsidDel="00000000" w:rsidR="00000000" w:rsidRPr="00000000">
        <w:rPr>
          <w:b w:val="0"/>
          <w:rtl w:val="0"/>
        </w:rPr>
        <w:t xml:space="preserve">com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na Rua Wlademiro da Silveira, nº 75, no bairro Jucutuquara, na cidade de Vitória/ES, CEP nº 29.040-830, inscrita no CNPJ/MF sob o nº 03.832.178/0001-97, neste ato representada pelo seu Diretor Renato Tannure Rotta de Almeida, inscrito no CPF sob o nº 0xx.xxx.xxx-65, doravante denominada INTERVENIENTE, no uso de suas atribuições legais que lhes conferem os respectivos Estatutos, resolvem celebrar o presente acordo, sujeitando-se aos termos da Lei nº 8.666/93 e suas alterações   posteriores;   do   Decreto   Federal   nº   93.872/86,   da   Lei nº 10.973/2004, atualizada pela Lei nº 13.243/2016 e Decreto nº 9.283/2018; do Decreto Federal nº 6.170/2007; e das Leis nº 9.279/1996, 9.456/1997 e 9.609/1998. Assim, em conjunto, resolvem firmar o presente acordo pelas cláusulas que seguem: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numPr>
          <w:ilvl w:val="0"/>
          <w:numId w:val="1"/>
        </w:numPr>
        <w:tabs>
          <w:tab w:val="left" w:pos="734"/>
          <w:tab w:val="left" w:pos="9801"/>
        </w:tabs>
        <w:spacing w:after="0" w:before="52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CLÁUSULA PRIMEIRA – DO OBJETO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40" w:w="11910" w:orient="portrait"/>
          <w:pgMar w:bottom="1160" w:top="850.3937007874016" w:left="880" w:right="1000" w:header="360" w:footer="971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Constitui-se objeto do presente ACORDO a cooperação técnica e científica visando à implementação de projetos voltados à promoção das atividades de iniciação tecnológica, associados ao ensino, à pesquisa e à extensão, nas instituições da Rede Federal de Educação Profissional, Científica e Tecnológica – RFEPCT no País, por adesão a regras editalícias e atos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administrativos por propostas institucionais, conforme os ditames do Edital nº xx/2022 – Apoio à Promoção de Indicações Geográficas, publicado no Diário Oficial da União e em plataformas oficiais do Governo Federal.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622300</wp:posOffset>
                </wp:positionV>
                <wp:extent cx="6034405" cy="214630"/>
                <wp:effectExtent b="0" l="0" r="0" t="0"/>
                <wp:wrapTopAndBottom distB="0" distT="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	CLÁUSULA SEGUNDA – DA COOPERAÇÃO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622300</wp:posOffset>
                </wp:positionV>
                <wp:extent cx="6034405" cy="214630"/>
                <wp:effectExtent b="0" l="0" r="0" t="0"/>
                <wp:wrapTopAndBottom distB="0" distT="0"/>
                <wp:docPr id="4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405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4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A cooperação definida na Cláusula Primeira ocorrerá mediante adesão das Instituições por submissão de propostas, em conformidade com o Edital Ifes nº xx/2022 – Apoio a Promoção de Indicações Geográficas, considerando a responsabilidade que cada gestão institucional assume sobre a execução do projeto, além das contrapartidas.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034405" cy="214630"/>
                <wp:effectExtent b="0" l="0" r="0" t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	CLÁUSULA TERCEIRA – DAS RESPONSABILIDADES E OBRIGAÇÕES DAS ENTIDADES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34405" cy="214630"/>
                <wp:effectExtent b="0" l="0" r="0" t="0"/>
                <wp:docPr id="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405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spacing w:before="97" w:lineRule="auto"/>
        <w:ind w:left="1791" w:firstLine="0"/>
        <w:jc w:val="both"/>
        <w:rPr/>
      </w:pPr>
      <w:r w:rsidDel="00000000" w:rsidR="00000000" w:rsidRPr="00000000">
        <w:rPr>
          <w:rtl w:val="0"/>
        </w:rPr>
        <w:t xml:space="preserve">Compete ao Ifes: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os procedimentos administrativos necessários, valendo-se de interveniência de fundação de apoio para gestão administrativa e operacional, para viabilizar o desembolso financeiro associado ao cronograma de execução de cada projeto selecionado.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Coordenar a execução das ações previstas em regras contidas no Edital nº xx/2022 –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Apoio a Promoção de Indicações Geográficas em planejamento estabelecido com a Setec/MEC.</w:t>
      </w:r>
    </w:p>
    <w:p w:rsidR="00000000" w:rsidDel="00000000" w:rsidP="00000000" w:rsidRDefault="00000000" w:rsidRPr="00000000" w14:paraId="00000022">
      <w:pPr>
        <w:pStyle w:val="Heading2"/>
        <w:spacing w:before="122" w:lineRule="auto"/>
        <w:ind w:left="1791" w:firstLine="0"/>
        <w:jc w:val="both"/>
        <w:rPr/>
      </w:pPr>
      <w:r w:rsidDel="00000000" w:rsidR="00000000" w:rsidRPr="00000000">
        <w:rPr>
          <w:rtl w:val="0"/>
        </w:rPr>
        <w:t xml:space="preserve">Compete à INTERVENIENTE: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gestão administrativa e operacional do pagamento de bolsas e da aquisição e disponibilização dos itens necessários para a execução dos projetos selecionados.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6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Disponibilizar, por meio de doação, os itens adquiridos para as respectivas INSTITUIÇÕES EXECUTORAS, de forma a viabilizar a execução dos projetos selecionados.</w:t>
      </w:r>
    </w:p>
    <w:p w:rsidR="00000000" w:rsidDel="00000000" w:rsidP="00000000" w:rsidRDefault="00000000" w:rsidRPr="00000000" w14:paraId="00000025">
      <w:pPr>
        <w:pStyle w:val="Heading2"/>
        <w:spacing w:before="120" w:lineRule="auto"/>
        <w:ind w:left="1791" w:firstLine="0"/>
        <w:rPr/>
      </w:pPr>
      <w:r w:rsidDel="00000000" w:rsidR="00000000" w:rsidRPr="00000000">
        <w:rPr>
          <w:rtl w:val="0"/>
        </w:rPr>
        <w:t xml:space="preserve">Compete à INSTITUIÇÃO EXECUTORA: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a execução dos projetos submetidos com avaliação periódica e prestar informações, sempre que solicitadas, a respeito do desenvolvimento dos projetos, da utilização dos itens disponibilizados para a execução dos projetos e da execução de atividades pelos bolsistas.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Informar, no relatório parcial do projeto, os critérios de seleção dos membros bolsistas que foram incorporados à equipe executora após a submissão do projeto ao processo seletivo do Edital mencionado no objeto deste termo.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e justificar ao Ifes a substituição do coordenador de projeto e/ou extensionista e/ou monitor e/ou colaborador externo, quando for o caso, em prazo de até 15 (quinze) dias a partir da efetiva alteração.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373" w:right="24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relatórios parcial e final contendo todos os dados necessários em prazo solicitado, conforme requerimento do Ifes e da Instituição Interveniente. Destaca-se que tais relatórios serão avaliados e o andamento ou a aprovação do projeto ficará condicionado à avaliação desta banca.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Alocar, em suas dependências físicas, os itens necessários para a execução dos projetos, preferencialmente sob a responsabilidade e manutenção dos coordenadores dos projetos selecionados, viabilizando a estruturação de ambientes e laboratórios para o seu desenvolvimento.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3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documento formal de comprovação de registro de patrimônio dos equipamentos e materiais permanentes, recebidos em conformidade com o objeto deste termo, em até 90 (noventa) dias a partir do efetivo recebimento de cada item.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34" w:line="240" w:lineRule="auto"/>
        <w:ind w:left="373" w:right="2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Pagar outras despesas necessárias para a execução da proposta, tais como passagens e diárias e despesas de locomoção, material de consumo, serviços de terceiros (pessoa física e pessoa jurídica), despesas com instalação de equipamentos - incluindo eventuais adequações de infraestrutura - despesas de suporte operacional e uso de equipamentos 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a título de contrapartida.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Registrar os estudantes participantes em ação(ões) de extensão, devidamente institucionalizada(s).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Prover as certificações aos estudantes beneficiários e aos das equipes de execução das atividades de iniciação tecnológica.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Estabelecer parcerias, na forma de acordos de cooperação, convênios ou instrumentos equivalentes, com secretarias de educação estaduais e/ou municipais para a execução dos projetos, sob orientação jurídica de suas procuradorias federais.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673100</wp:posOffset>
                </wp:positionV>
                <wp:extent cx="6034405" cy="214630"/>
                <wp:effectExtent b="0" l="0" r="0" t="0"/>
                <wp:wrapTopAndBottom distB="0" distT="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	CLÁUSULA QUARTA – DA VIGÊNCIA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673100</wp:posOffset>
                </wp:positionV>
                <wp:extent cx="6034405" cy="214630"/>
                <wp:effectExtent b="0" l="0" r="0" t="0"/>
                <wp:wrapTopAndBottom distB="0" distT="0"/>
                <wp:docPr id="4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405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  <w:tab w:val="left" w:pos="6437"/>
        </w:tabs>
        <w:spacing w:after="0" w:before="105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vigência do presente instrumento dar-se-á no instante em que for assinado este ACORDO, com término previsto para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2023.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prazo de vigência do presente ACORDO é de XX (por extenso) ano/meses, contado a partir da data de sua assinatura, podendo ser prorrogado por iguais e sucessivos períodos, observando o disposto no artigo 57, da Lei nº 8.666/1993.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673100</wp:posOffset>
                </wp:positionV>
                <wp:extent cx="6034405" cy="214630"/>
                <wp:effectExtent b="0" l="0" r="0" t="0"/>
                <wp:wrapTopAndBottom distB="0" distT="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	CLÁUSULA QUINTA – DO ACOMPANHAMENTO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673100</wp:posOffset>
                </wp:positionV>
                <wp:extent cx="6034405" cy="214630"/>
                <wp:effectExtent b="0" l="0" r="0" t="0"/>
                <wp:wrapTopAndBottom distB="0" distT="0"/>
                <wp:docPr id="4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405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4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Fica reservado ao Ifes e à Setec/MEC o direito de, durante a execução do projeto, promover visitas técnicas ou solicitarem informações adicionais para aperfeiçoar a avaliação e o acompanhamento.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034405" cy="214630"/>
                <wp:effectExtent b="0" l="0" r="0" 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6.	CLÁUSULA SEXTA – DA PUBLICAÇÃO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34405" cy="214630"/>
                <wp:effectExtent b="0" l="0" r="0" t="0"/>
                <wp:docPr id="4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405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373" w:right="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A INSTITUIÇÃO EXECUTORA providenciará, como condição de eficácia, a publicação deste ACORDO sob a forma de extrato, no Diário Oficial da União, nos termos do art. 33 da Portaria Interministerial nº 507/2011.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660400</wp:posOffset>
                </wp:positionV>
                <wp:extent cx="6034405" cy="214630"/>
                <wp:effectExtent b="0" l="0" r="0" t="0"/>
                <wp:wrapTopAndBottom distB="0" distT="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7.	CLÁUSULA SÉTIMA – DA RESCISÃO E DA DENÚNCIA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660400</wp:posOffset>
                </wp:positionV>
                <wp:extent cx="6034405" cy="214630"/>
                <wp:effectExtent b="0" l="0" r="0" t="0"/>
                <wp:wrapTopAndBottom distB="0" distT="0"/>
                <wp:docPr id="4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405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104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O presente ACORDO poderá ser rescindido de pleno direito no caso de infração a qualquer uma das cláusulas e condições nele estipuladas, ou denunciado por qualquer dos partícipes, com antecedência mínima de 30 (trinta) dias ou a qualquer tempo em face da superveniência de impedimento legal que torne formal ou materialmente inexequível.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034405" cy="214630"/>
                <wp:effectExtent b="0" l="0" r="0" 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8.	CLÁUSULA OITAVA – DO FORO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34405" cy="214630"/>
                <wp:effectExtent b="0" l="0" r="0" t="0"/>
                <wp:docPr id="4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405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97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dirimir quaisquer dúvidas ou litígio que porventura possam surgir da execução deste Acordo, fica eleita a Câmara de Conciliação e Arbitragem da Administração Federal – CCAF para ser acionada antes do Judiciário ser submetido à eventual demanda. Caso a demanda não seja resolvida, fica eleita a Seção Judiciária do Espírito Santo/Vitória para ser o foro competente nos ACORDOS do inciso I, do artigo 109, da Constituição da República Federativa do Brasil, com expressa renúncia de qualquer outro, por mais privilegiado que seja.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9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assim, justas e acordadas, as Partes firmam este instrumento em 4 (quatro) vias de igual teor e forma, comprometendo-se a cumprir e a fazer cumprir, por si e por seus sucessores, em juízo ou fora dele, tão fielmente como nele se contém, na presença das testemunhas abaixo, para que produza os devidos e legais efeitos.</w:t>
      </w:r>
    </w:p>
    <w:p w:rsidR="00000000" w:rsidDel="00000000" w:rsidP="00000000" w:rsidRDefault="00000000" w:rsidRPr="00000000" w14:paraId="00000039">
      <w:pPr>
        <w:tabs>
          <w:tab w:val="left" w:pos="7192"/>
          <w:tab w:val="left" w:pos="9051"/>
        </w:tabs>
        <w:spacing w:before="33" w:lineRule="auto"/>
        <w:ind w:left="582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Vitória/ES,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de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de 2022.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6.0" w:type="dxa"/>
        <w:jc w:val="left"/>
        <w:tblInd w:w="1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720"/>
        <w:gridCol w:w="2532"/>
        <w:gridCol w:w="3214"/>
        <w:tblGridChange w:id="0">
          <w:tblGrid>
            <w:gridCol w:w="3720"/>
            <w:gridCol w:w="2532"/>
            <w:gridCol w:w="3214"/>
          </w:tblGrid>
        </w:tblGridChange>
      </w:tblGrid>
      <w:tr>
        <w:trPr>
          <w:cantSplit w:val="0"/>
          <w:trHeight w:val="185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296" w:right="113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Jadir José Pela Reitor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5" w:right="7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do Espírito Santo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2" w:right="113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IFES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9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Inserir nome do reitor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328" w:firstLine="41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instituição Inserir nome completo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1" w:right="743" w:hanging="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instituição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 EXECUTORA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328" w:right="19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Renato Tannure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545" w:firstLine="0.999999999999943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Diretor Presidente Fundação de Apoio ao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8" w:right="20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Desenvolvimento da Ciência e Tecnologia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INTERVENIENTE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TESTEMUNHAS: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2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0" w:type="default"/>
      <w:type w:val="nextPage"/>
      <w:pgSz w:h="16840" w:w="11910" w:orient="portrait"/>
      <w:pgMar w:bottom="280" w:top="1080" w:left="880" w:right="100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9842500</wp:posOffset>
              </wp:positionV>
              <wp:extent cx="257175" cy="222885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9842500</wp:posOffset>
              </wp:positionV>
              <wp:extent cx="257175" cy="222885"/>
              <wp:effectExtent b="0" l="0" r="0" t="0"/>
              <wp:wrapNone/>
              <wp:docPr id="4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" cy="222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  <w:t xml:space="preserve">    </w:t>
      <w:tab/>
      <w:t xml:space="preserve"> </w:t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  <w:t xml:space="preserve">   </w:t>
      <w:tab/>
      <w:t xml:space="preserve">                              </w:t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1771" w:hanging="588"/>
      </w:pPr>
      <w:rPr/>
    </w:lvl>
    <w:lvl w:ilvl="3">
      <w:start w:val="0"/>
      <w:numFmt w:val="bullet"/>
      <w:lvlText w:val="•"/>
      <w:lvlJc w:val="left"/>
      <w:pPr>
        <w:ind w:left="2803" w:hanging="588"/>
      </w:pPr>
      <w:rPr/>
    </w:lvl>
    <w:lvl w:ilvl="4">
      <w:start w:val="0"/>
      <w:numFmt w:val="bullet"/>
      <w:lvlText w:val="•"/>
      <w:lvlJc w:val="left"/>
      <w:pPr>
        <w:ind w:left="3835" w:hanging="588"/>
      </w:pPr>
      <w:rPr/>
    </w:lvl>
    <w:lvl w:ilvl="5">
      <w:start w:val="0"/>
      <w:numFmt w:val="bullet"/>
      <w:lvlText w:val="•"/>
      <w:lvlJc w:val="left"/>
      <w:pPr>
        <w:ind w:left="4867" w:hanging="588"/>
      </w:pPr>
      <w:rPr/>
    </w:lvl>
    <w:lvl w:ilvl="6">
      <w:start w:val="0"/>
      <w:numFmt w:val="bullet"/>
      <w:lvlText w:val="•"/>
      <w:lvlJc w:val="left"/>
      <w:pPr>
        <w:ind w:left="5899" w:hanging="588"/>
      </w:pPr>
      <w:rPr/>
    </w:lvl>
    <w:lvl w:ilvl="7">
      <w:start w:val="0"/>
      <w:numFmt w:val="bullet"/>
      <w:lvlText w:val="•"/>
      <w:lvlJc w:val="left"/>
      <w:pPr>
        <w:ind w:left="6930" w:hanging="588"/>
      </w:pPr>
      <w:rPr/>
    </w:lvl>
    <w:lvl w:ilvl="8">
      <w:start w:val="0"/>
      <w:numFmt w:val="bullet"/>
      <w:lvlText w:val="•"/>
      <w:lvlJc w:val="left"/>
      <w:pPr>
        <w:ind w:left="7962" w:hanging="587.9999999999991"/>
      </w:pPr>
      <w:rPr/>
    </w:lvl>
  </w:abstractNum>
  <w:abstractNum w:abstractNumId="2">
    <w:lvl w:ilvl="0">
      <w:start w:val="8"/>
      <w:numFmt w:val="decimal"/>
      <w:lvlText w:val="%1"/>
      <w:lvlJc w:val="left"/>
      <w:pPr>
        <w:ind w:left="373" w:hanging="588"/>
      </w:pPr>
      <w:rPr/>
    </w:lvl>
    <w:lvl w:ilvl="1">
      <w:start w:val="1"/>
      <w:numFmt w:val="decimal"/>
      <w:lvlText w:val="%1.%2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2309" w:hanging="587.9999999999998"/>
      </w:pPr>
      <w:rPr/>
    </w:lvl>
    <w:lvl w:ilvl="3">
      <w:start w:val="0"/>
      <w:numFmt w:val="bullet"/>
      <w:lvlText w:val="•"/>
      <w:lvlJc w:val="left"/>
      <w:pPr>
        <w:ind w:left="3273" w:hanging="588"/>
      </w:pPr>
      <w:rPr/>
    </w:lvl>
    <w:lvl w:ilvl="4">
      <w:start w:val="0"/>
      <w:numFmt w:val="bullet"/>
      <w:lvlText w:val="•"/>
      <w:lvlJc w:val="left"/>
      <w:pPr>
        <w:ind w:left="4238" w:hanging="588"/>
      </w:pPr>
      <w:rPr/>
    </w:lvl>
    <w:lvl w:ilvl="5">
      <w:start w:val="0"/>
      <w:numFmt w:val="bullet"/>
      <w:lvlText w:val="•"/>
      <w:lvlJc w:val="left"/>
      <w:pPr>
        <w:ind w:left="5203" w:hanging="588.0000000000009"/>
      </w:pPr>
      <w:rPr/>
    </w:lvl>
    <w:lvl w:ilvl="6">
      <w:start w:val="0"/>
      <w:numFmt w:val="bullet"/>
      <w:lvlText w:val="•"/>
      <w:lvlJc w:val="left"/>
      <w:pPr>
        <w:ind w:left="6167" w:hanging="587.9999999999991"/>
      </w:pPr>
      <w:rPr/>
    </w:lvl>
    <w:lvl w:ilvl="7">
      <w:start w:val="0"/>
      <w:numFmt w:val="bullet"/>
      <w:lvlText w:val="•"/>
      <w:lvlJc w:val="left"/>
      <w:pPr>
        <w:ind w:left="7132" w:hanging="587.9999999999991"/>
      </w:pPr>
      <w:rPr/>
    </w:lvl>
    <w:lvl w:ilvl="8">
      <w:start w:val="0"/>
      <w:numFmt w:val="bullet"/>
      <w:lvlText w:val="•"/>
      <w:lvlJc w:val="left"/>
      <w:pPr>
        <w:ind w:left="8097" w:hanging="587.9999999999991"/>
      </w:pPr>
      <w:rPr/>
    </w:lvl>
  </w:abstractNum>
  <w:abstractNum w:abstractNumId="3">
    <w:lvl w:ilvl="0">
      <w:start w:val="4"/>
      <w:numFmt w:val="decimal"/>
      <w:lvlText w:val="%1"/>
      <w:lvlJc w:val="left"/>
      <w:pPr>
        <w:ind w:left="373" w:hanging="588"/>
      </w:pPr>
      <w:rPr/>
    </w:lvl>
    <w:lvl w:ilvl="1">
      <w:start w:val="1"/>
      <w:numFmt w:val="decimal"/>
      <w:lvlText w:val="%1.%2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2309" w:hanging="587.9999999999998"/>
      </w:pPr>
      <w:rPr/>
    </w:lvl>
    <w:lvl w:ilvl="3">
      <w:start w:val="0"/>
      <w:numFmt w:val="bullet"/>
      <w:lvlText w:val="•"/>
      <w:lvlJc w:val="left"/>
      <w:pPr>
        <w:ind w:left="3273" w:hanging="588"/>
      </w:pPr>
      <w:rPr/>
    </w:lvl>
    <w:lvl w:ilvl="4">
      <w:start w:val="0"/>
      <w:numFmt w:val="bullet"/>
      <w:lvlText w:val="•"/>
      <w:lvlJc w:val="left"/>
      <w:pPr>
        <w:ind w:left="4238" w:hanging="588"/>
      </w:pPr>
      <w:rPr/>
    </w:lvl>
    <w:lvl w:ilvl="5">
      <w:start w:val="0"/>
      <w:numFmt w:val="bullet"/>
      <w:lvlText w:val="•"/>
      <w:lvlJc w:val="left"/>
      <w:pPr>
        <w:ind w:left="5203" w:hanging="588.0000000000009"/>
      </w:pPr>
      <w:rPr/>
    </w:lvl>
    <w:lvl w:ilvl="6">
      <w:start w:val="0"/>
      <w:numFmt w:val="bullet"/>
      <w:lvlText w:val="•"/>
      <w:lvlJc w:val="left"/>
      <w:pPr>
        <w:ind w:left="6167" w:hanging="587.9999999999991"/>
      </w:pPr>
      <w:rPr/>
    </w:lvl>
    <w:lvl w:ilvl="7">
      <w:start w:val="0"/>
      <w:numFmt w:val="bullet"/>
      <w:lvlText w:val="•"/>
      <w:lvlJc w:val="left"/>
      <w:pPr>
        <w:ind w:left="7132" w:hanging="587.9999999999991"/>
      </w:pPr>
      <w:rPr/>
    </w:lvl>
    <w:lvl w:ilvl="8">
      <w:start w:val="0"/>
      <w:numFmt w:val="bullet"/>
      <w:lvlText w:val="•"/>
      <w:lvlJc w:val="left"/>
      <w:pPr>
        <w:ind w:left="8097" w:hanging="587.9999999999991"/>
      </w:pPr>
      <w:rPr/>
    </w:lvl>
  </w:abstractNum>
  <w:abstractNum w:abstractNumId="4">
    <w:lvl w:ilvl="0">
      <w:start w:val="3"/>
      <w:numFmt w:val="decimal"/>
      <w:lvlText w:val="%1"/>
      <w:lvlJc w:val="left"/>
      <w:pPr>
        <w:ind w:left="373" w:hanging="588"/>
      </w:pPr>
      <w:rPr/>
    </w:lvl>
    <w:lvl w:ilvl="1">
      <w:start w:val="1"/>
      <w:numFmt w:val="decimal"/>
      <w:lvlText w:val="%1.%2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273" w:hanging="588"/>
      </w:pPr>
      <w:rPr/>
    </w:lvl>
    <w:lvl w:ilvl="4">
      <w:start w:val="0"/>
      <w:numFmt w:val="bullet"/>
      <w:lvlText w:val="•"/>
      <w:lvlJc w:val="left"/>
      <w:pPr>
        <w:ind w:left="4238" w:hanging="588"/>
      </w:pPr>
      <w:rPr/>
    </w:lvl>
    <w:lvl w:ilvl="5">
      <w:start w:val="0"/>
      <w:numFmt w:val="bullet"/>
      <w:lvlText w:val="•"/>
      <w:lvlJc w:val="left"/>
      <w:pPr>
        <w:ind w:left="5203" w:hanging="588.0000000000009"/>
      </w:pPr>
      <w:rPr/>
    </w:lvl>
    <w:lvl w:ilvl="6">
      <w:start w:val="0"/>
      <w:numFmt w:val="bullet"/>
      <w:lvlText w:val="•"/>
      <w:lvlJc w:val="left"/>
      <w:pPr>
        <w:ind w:left="6167" w:hanging="587.9999999999991"/>
      </w:pPr>
      <w:rPr/>
    </w:lvl>
    <w:lvl w:ilvl="7">
      <w:start w:val="0"/>
      <w:numFmt w:val="bullet"/>
      <w:lvlText w:val="•"/>
      <w:lvlJc w:val="left"/>
      <w:pPr>
        <w:ind w:left="7132" w:hanging="587.9999999999991"/>
      </w:pPr>
      <w:rPr/>
    </w:lvl>
    <w:lvl w:ilvl="8">
      <w:start w:val="0"/>
      <w:numFmt w:val="bullet"/>
      <w:lvlText w:val="•"/>
      <w:lvlJc w:val="left"/>
      <w:pPr>
        <w:ind w:left="8097" w:hanging="587.99999999999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footer" Target="footer2.xml"/><Relationship Id="rId13" Type="http://schemas.openxmlformats.org/officeDocument/2006/relationships/footer" Target="foot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15" Type="http://schemas.openxmlformats.org/officeDocument/2006/relationships/image" Target="media/image4.png"/><Relationship Id="rId14" Type="http://schemas.openxmlformats.org/officeDocument/2006/relationships/image" Target="media/image6.png"/><Relationship Id="rId17" Type="http://schemas.openxmlformats.org/officeDocument/2006/relationships/image" Target="media/image8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footer" Target="footer5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VrZrxg9jzch3lr8I443NRd40w==">AMUW2mUnqVbLTnmNHe7pRsSM89GPHakX8myoU59RjNEKCbxbbcxF/F/jJX1Rz6JCzodHTM15De3pJZDPrTUpfSDNB1BKbBKjQkOHOFbfb9zNAWKpJm4Wfs4=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2023-01-10T13:02:51Z</dcterms:created>
  <dc:creator>Huarley Lemke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